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rtl w:val="0"/>
        </w:rPr>
        <w:t xml:space="preserve">DESCRIPTION DU COMITÉ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entury Gothic" w:cs="Century Gothic" w:eastAsia="Century Gothic" w:hAnsi="Century Gothic"/>
          <w:b w:val="1"/>
          <w:color w:val="dd00ff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dd00ff"/>
          <w:sz w:val="40"/>
          <w:szCs w:val="40"/>
          <w:rtl w:val="0"/>
        </w:rPr>
        <w:t xml:space="preserve">SUBVENTIONS</w:t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Century Gothic" w:cs="Century Gothic" w:eastAsia="Century Gothic" w:hAnsi="Century Gothic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405"/>
        <w:gridCol w:w="5970"/>
        <w:gridCol w:w="1984"/>
        <w:tblGridChange w:id="0">
          <w:tblGrid>
            <w:gridCol w:w="1779"/>
            <w:gridCol w:w="405"/>
            <w:gridCol w:w="5970"/>
            <w:gridCol w:w="198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before="0" w:line="276" w:lineRule="auto"/>
              <w:rPr>
                <w:rFonts w:ascii="Century Gothic" w:cs="Century Gothic" w:eastAsia="Century Gothic" w:hAnsi="Century Gothic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280" w:before="10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Les subventions et, par extension, la rédaction de demandes de subventions renvoient au processus consistant à demander du financement à des fondations, des entreprises, des organismes gouvernementaux ou des organisations communautaires. </w:t>
            </w:r>
          </w:p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280" w:before="10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Les subventions peuvent prendre différentes formes, allant de services en nature à de l’aide financière d’un fournisseur en particulier, en passant par un simple financement. Elles peuvent généralement être classées en fonction du type d’institution qui fournit les fonds : subventions gouvernementales (à l’échelle fédérale, provinciale ou municipale), subventions de fondations et subventions d’entreprises.</w:t>
            </w:r>
          </w:p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280" w:before="10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Pour plus d’infos :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u w:val="single"/>
                  <w:rtl w:val="0"/>
                </w:rPr>
                <w:t xml:space="preserve">https://www.imaginecanada.ca/fr/360/subventions-101-guide-pratique-lintention-des-organismes-sans-lucratif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BUT DU COMITÉ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Appuyer le processus des demandes de subventions pour le Regroupement Autisme Prescott-Russell</w:t>
            </w:r>
          </w:p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NOMBRE DE MEMBRES NÉCESSAIRE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membre minimum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Les membres du comité vont travailler étroitement avec la directrice générale.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CHARGE DE TRAVAIL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 heures par mois (peut varier selon les dates limites pour compléter les demandes de subventions, donc faire plus d’heures certains mois et aucune d’autres)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RESPONSABILITÉS DES MEMBRES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Trouver des subventions qui peuvent nous appuyer (Trillium, AFO, Centraide) 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Réviser les demandes de subvention une fois complétées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Réviser les rapports finaux (lorsque demandé par les donateurs)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AUTRES TÂCHES POSSIBLES (OPTIONNEL)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 les membres désirent s’impliquer davantage, ils peuvent appuyer la directrice générale avec les tâches suivantes :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Appuyer la DG dans la rédaction des demandes de subvention et des rapports finaux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 vous êtes intéressés à vous impliquer auprès de ce comité ou si vous avez des questions, vous pouvez nous envoyer un courriel à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regroupementautismepr@gmail.com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5840" w:w="12240" w:orient="portrait"/>
      <w:pgMar w:bottom="1133" w:top="1133" w:left="1133" w:right="1133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-289699</wp:posOffset>
          </wp:positionH>
          <wp:positionV relativeFrom="paragraph">
            <wp:posOffset>-275553</wp:posOffset>
          </wp:positionV>
          <wp:extent cx="6849110" cy="1348740"/>
          <wp:effectExtent b="0" l="0" r="0" t="0"/>
          <wp:wrapSquare wrapText="bothSides" distB="114300" distT="11430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9110" cy="13487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Cambria" w:cs="Cambria" w:eastAsia="Cambria" w:hAnsi="Cambria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  <w:qFormat w:val="1"/>
    <w:rsid w:val="0030611D"/>
    <w:rPr>
      <w:rFonts w:ascii="Times New Roman" w:cs="Times New Roman" w:eastAsia="Times New Roman" w:hAnsi="Times New Roman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rFonts w:ascii="Cambria" w:cs="Cambria" w:eastAsia="Cambria" w:hAnsi="Cambria"/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rFonts w:ascii="Cambria" w:cs="Cambria" w:eastAsia="Cambria" w:hAnsi="Cambria"/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rFonts w:ascii="Cambria" w:cs="Cambria" w:eastAsia="Cambria" w:hAnsi="Cambria"/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rFonts w:ascii="Cambria" w:cs="Cambria" w:eastAsia="Cambria" w:hAnsi="Cambria"/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rFonts w:ascii="Cambria" w:cs="Cambria" w:eastAsia="Cambria" w:hAnsi="Cambria"/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rFonts w:ascii="Cambria" w:cs="Cambria" w:eastAsia="Cambria" w:hAnsi="Cambria"/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rFonts w:ascii="Cambria" w:cs="Cambria" w:eastAsia="Cambria" w:hAnsi="Cambria"/>
      <w:b w:val="1"/>
      <w:sz w:val="72"/>
      <w:szCs w:val="72"/>
    </w:rPr>
  </w:style>
  <w:style w:type="table" w:styleId="Grilledutableau">
    <w:name w:val="Table Grid"/>
    <w:basedOn w:val="TableauNormal"/>
    <w:uiPriority w:val="59"/>
    <w:rsid w:val="00EC62E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A" w:customStyle="1">
    <w:name w:val="Body A"/>
    <w:autoRedefine w:val="1"/>
    <w:rsid w:val="00334F64"/>
    <w:pPr>
      <w:jc w:val="center"/>
    </w:pPr>
    <w:rPr>
      <w:rFonts w:ascii="Comic Sans MS" w:cs="Times New Roman" w:eastAsia="ヒラギノ角ゴ Pro W3" w:hAnsi="Comic Sans MS"/>
      <w:color w:val="fabf8f" w:themeColor="accent6" w:themeTint="000099"/>
      <w:szCs w:val="20"/>
    </w:rPr>
  </w:style>
  <w:style w:type="paragraph" w:styleId="Paragraphedeliste">
    <w:name w:val="List Paragraph"/>
    <w:basedOn w:val="Normal"/>
    <w:uiPriority w:val="34"/>
    <w:qFormat w:val="1"/>
    <w:rsid w:val="00041149"/>
    <w:pPr>
      <w:ind w:left="720"/>
      <w:contextualSpacing w:val="1"/>
    </w:pPr>
    <w:rPr>
      <w:rFonts w:ascii="Cambria" w:cs="Cambria" w:eastAsia="Cambria" w:hAnsi="Cambria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auNormal"/>
    <w:tblPr>
      <w:tblStyleRowBandSize w:val="1"/>
      <w:tblStyleColBandSize w:val="1"/>
    </w:tblPr>
  </w:style>
  <w:style w:type="table" w:styleId="a0" w:customStyle="1">
    <w:basedOn w:val="TableauNormal"/>
    <w:tblPr>
      <w:tblStyleRowBandSize w:val="1"/>
      <w:tblStyleColBandSize w:val="1"/>
    </w:tblPr>
  </w:style>
  <w:style w:type="table" w:styleId="a1" w:customStyle="1">
    <w:basedOn w:val="TableauNormal"/>
    <w:tblPr>
      <w:tblStyleRowBandSize w:val="1"/>
      <w:tblStyleColBandSize w:val="1"/>
    </w:tblPr>
  </w:style>
  <w:style w:type="table" w:styleId="a2" w:customStyle="1">
    <w:basedOn w:val="TableauNormal"/>
    <w:tblPr>
      <w:tblStyleRowBandSize w:val="1"/>
      <w:tblStyleColBandSize w:val="1"/>
    </w:tblPr>
  </w:style>
  <w:style w:type="table" w:styleId="a3" w:customStyle="1">
    <w:basedOn w:val="TableauNormal"/>
    <w:tblPr>
      <w:tblStyleRowBandSize w:val="1"/>
      <w:tblStyleColBandSize w:val="1"/>
    </w:tblPr>
  </w:style>
  <w:style w:type="table" w:styleId="a4" w:customStyle="1">
    <w:basedOn w:val="TableauNormal"/>
    <w:tblPr>
      <w:tblStyleRowBandSize w:val="1"/>
      <w:tblStyleColBandSize w:val="1"/>
    </w:tblPr>
  </w:style>
  <w:style w:type="character" w:styleId="il" w:customStyle="1">
    <w:name w:val="il"/>
    <w:basedOn w:val="Policepardfaut"/>
    <w:rsid w:val="00522B6E"/>
  </w:style>
  <w:style w:type="table" w:styleId="a5" w:customStyle="1">
    <w:basedOn w:val="TableauNormal"/>
    <w:tblPr>
      <w:tblStyleRowBandSize w:val="1"/>
      <w:tblStyleColBandSize w:val="1"/>
    </w:tblPr>
  </w:style>
  <w:style w:type="table" w:styleId="a6" w:customStyle="1">
    <w:basedOn w:val="TableauNormal"/>
    <w:tblPr>
      <w:tblStyleRowBandSize w:val="1"/>
      <w:tblStyleColBandSize w:val="1"/>
    </w:tblPr>
  </w:style>
  <w:style w:type="table" w:styleId="a7" w:customStyle="1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 w:val="1"/>
    <w:rsid w:val="00974644"/>
    <w:pPr>
      <w:tabs>
        <w:tab w:val="center" w:pos="4680"/>
        <w:tab w:val="right" w:pos="9360"/>
      </w:tabs>
    </w:pPr>
    <w:rPr>
      <w:rFonts w:ascii="Cambria" w:cs="Cambria" w:eastAsia="Cambria" w:hAnsi="Cambria"/>
    </w:rPr>
  </w:style>
  <w:style w:type="character" w:styleId="En-tteCar" w:customStyle="1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 w:val="1"/>
    <w:rsid w:val="00974644"/>
    <w:pPr>
      <w:tabs>
        <w:tab w:val="center" w:pos="4680"/>
        <w:tab w:val="right" w:pos="9360"/>
      </w:tabs>
    </w:pPr>
    <w:rPr>
      <w:rFonts w:ascii="Cambria" w:cs="Cambria" w:eastAsia="Cambria" w:hAnsi="Cambria"/>
    </w:rPr>
  </w:style>
  <w:style w:type="character" w:styleId="PieddepageCar" w:customStyle="1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4253F"/>
    <w:rPr>
      <w:rFonts w:eastAsia="Cambria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4253F"/>
    <w:rPr>
      <w:rFonts w:ascii="Times New Roman" w:cs="Times New Roman" w:hAnsi="Times New Roman"/>
      <w:sz w:val="18"/>
      <w:szCs w:val="18"/>
    </w:rPr>
  </w:style>
  <w:style w:type="table" w:styleId="a8" w:customStyle="1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 w:val="1"/>
    <w:rsid w:val="0067226F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maginecanada.ca/fr/360/subventions-101-guide-pratique-lintention-des-organismes-sans-lucratif" TargetMode="External"/><Relationship Id="rId8" Type="http://schemas.openxmlformats.org/officeDocument/2006/relationships/hyperlink" Target="mailto:regroupementautismep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PwKcaoCce8N1Rr0q/c1O13WwA==">AMUW2mXyqCRzMSNjRLn/67ysdzhaDXnvxYs+uoaM2J4fWqHUBWn+BR+hG6GoVN/Om5KMqoTcJHeEy0tH1Tg407uiQCqDeiUjQaWWXkuxtZ2rt51/7M/+piw=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2020-11-14T21:17:00Z</dcterms:created>
  <dc:creator>Louise</dc:creator>
</cp:coreProperties>
</file>